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D746" w14:textId="643B1083" w:rsidR="00A92B3A" w:rsidRDefault="00A92B3A" w:rsidP="00A92B3A">
      <w:pPr>
        <w:pStyle w:val="a3"/>
        <w:spacing w:before="75" w:beforeAutospacing="0" w:after="75" w:afterAutospacing="0"/>
        <w:jc w:val="center"/>
      </w:pPr>
      <w:r>
        <w:br/>
      </w:r>
    </w:p>
    <w:p w14:paraId="36BF6C0D" w14:textId="77777777" w:rsidR="00A92B3A" w:rsidRDefault="00A92B3A" w:rsidP="00A92B3A">
      <w:pPr>
        <w:pStyle w:val="a3"/>
        <w:spacing w:before="75" w:beforeAutospacing="0" w:after="75" w:afterAutospacing="0"/>
      </w:pPr>
    </w:p>
    <w:p w14:paraId="68A0FD78" w14:textId="77777777" w:rsidR="00A92B3A" w:rsidRDefault="00A92B3A" w:rsidP="00A92B3A">
      <w:pPr>
        <w:pStyle w:val="a3"/>
        <w:shd w:val="clear" w:color="auto" w:fill="FFFFFF"/>
        <w:spacing w:before="0" w:beforeAutospacing="0" w:after="0" w:afterAutospacing="0" w:line="360" w:lineRule="atLeast"/>
        <w:ind w:firstLine="480"/>
        <w:jc w:val="both"/>
        <w:rPr>
          <w:rFonts w:ascii="Microsoft YaHei UI" w:eastAsia="Microsoft YaHei UI" w:hAnsi="Microsoft YaHei UI"/>
          <w:color w:val="3E3E3E"/>
          <w:spacing w:val="30"/>
        </w:rPr>
      </w:pPr>
      <w:r>
        <w:rPr>
          <w:rFonts w:hint="eastAsia"/>
          <w:color w:val="3E3E3E"/>
          <w:spacing w:val="30"/>
        </w:rPr>
        <w:t>为深入学习贯彻习近平法治思想，切实实施民法典，统一法律适用标准，服务保障经济社会高质量发展，指导各级人民法院依法公正高效审理各类民事案件，最高人民法院于2021年1月4日在北京以视频方式召开全国法院贯彻实施民法典工作会议。</w:t>
      </w:r>
    </w:p>
    <w:p w14:paraId="0328E121" w14:textId="77777777" w:rsidR="00A92B3A" w:rsidRDefault="00A92B3A" w:rsidP="00A92B3A">
      <w:pPr>
        <w:pStyle w:val="a3"/>
        <w:spacing w:before="75" w:beforeAutospacing="0" w:after="150" w:afterAutospacing="0" w:line="360" w:lineRule="atLeast"/>
        <w:ind w:firstLine="480"/>
        <w:jc w:val="both"/>
        <w:rPr>
          <w:rFonts w:hint="eastAsia"/>
        </w:rPr>
      </w:pPr>
      <w:r>
        <w:rPr>
          <w:rFonts w:hint="eastAsia"/>
        </w:rPr>
        <w:t>为深入学习贯彻习近平法治思想，切实实施民法典，统一法律适用标准，服务保障经济社会高质量发展，指导各级人民法院依法公正高效审理各类民事案件，最高人民法院于2021年1月4日在北京以视频方式召开全国法院贯彻实施民法典工作会议。</w:t>
      </w:r>
    </w:p>
    <w:p w14:paraId="52515E1E" w14:textId="77777777" w:rsidR="00A92B3A" w:rsidRDefault="00A92B3A" w:rsidP="00A92B3A">
      <w:pPr>
        <w:pStyle w:val="a3"/>
        <w:spacing w:before="75" w:beforeAutospacing="0" w:after="150" w:afterAutospacing="0" w:line="360" w:lineRule="atLeast"/>
        <w:ind w:firstLine="480"/>
        <w:jc w:val="both"/>
      </w:pPr>
      <w:r>
        <w:rPr>
          <w:rFonts w:hint="eastAsia"/>
        </w:rPr>
        <w:t>最高人民法院党组书记、院长周强同志出席会议并讲话，党组副书记、常务副院长贺荣同志主持会议并作了总结，审判委员会副部级专职委员刘贵祥同志就《全国法院贯彻实施民法典工作会议纪要》的起草情况加主要内容作了说明。</w:t>
      </w:r>
    </w:p>
    <w:p w14:paraId="16948869" w14:textId="77777777" w:rsidR="00A92B3A" w:rsidRDefault="00A92B3A" w:rsidP="00A92B3A">
      <w:pPr>
        <w:pStyle w:val="a3"/>
        <w:spacing w:before="75" w:beforeAutospacing="0" w:after="150" w:afterAutospacing="0" w:line="360" w:lineRule="atLeast"/>
        <w:ind w:firstLine="480"/>
        <w:jc w:val="both"/>
      </w:pPr>
      <w:r>
        <w:rPr>
          <w:rFonts w:hint="eastAsia"/>
        </w:rPr>
        <w:t>各省、自治区、直辖市高级人民法院、解放军军事法院、新疆维吾尔自治区高级人民法院生产建设兵团分院院长、主管民商事审判工作的副院长、民商事审判庭负责人参加了会议，江苏、广东、河南三省高级人民法院作了专题汇报和经验交流。</w:t>
      </w:r>
    </w:p>
    <w:p w14:paraId="5B41D0A7" w14:textId="77777777" w:rsidR="00A92B3A" w:rsidRDefault="00A92B3A" w:rsidP="00A92B3A">
      <w:pPr>
        <w:pStyle w:val="a3"/>
        <w:spacing w:before="75" w:beforeAutospacing="0" w:after="150" w:afterAutospacing="0" w:line="360" w:lineRule="atLeast"/>
        <w:ind w:firstLine="480"/>
        <w:jc w:val="both"/>
      </w:pPr>
      <w:r>
        <w:rPr>
          <w:rFonts w:hint="eastAsia"/>
        </w:rPr>
        <w:t>会议强调，各级人民法院要坚持以习近平法治思想武装头脑、指导实践、推动工作，切实增强贯彻实施民法典的责任感使命感。会议指出，贯彻实施好民法典，是增强</w:t>
      </w:r>
      <w:proofErr w:type="gramStart"/>
      <w:r>
        <w:rPr>
          <w:rFonts w:hint="eastAsia"/>
        </w:rPr>
        <w:t>”</w:t>
      </w:r>
      <w:proofErr w:type="gramEnd"/>
      <w:r>
        <w:rPr>
          <w:rFonts w:hint="eastAsia"/>
        </w:rPr>
        <w:t>四个意识</w:t>
      </w:r>
      <w:proofErr w:type="gramStart"/>
      <w:r>
        <w:rPr>
          <w:rFonts w:hint="eastAsia"/>
        </w:rPr>
        <w:t>”</w:t>
      </w:r>
      <w:proofErr w:type="gramEnd"/>
      <w:r>
        <w:rPr>
          <w:rFonts w:hint="eastAsia"/>
        </w:rPr>
        <w:t>、坚定</w:t>
      </w:r>
      <w:proofErr w:type="gramStart"/>
      <w:r>
        <w:rPr>
          <w:rFonts w:hint="eastAsia"/>
        </w:rPr>
        <w:t>”</w:t>
      </w:r>
      <w:proofErr w:type="gramEnd"/>
      <w:r>
        <w:rPr>
          <w:rFonts w:hint="eastAsia"/>
        </w:rPr>
        <w:t>四个自信</w:t>
      </w:r>
      <w:proofErr w:type="gramStart"/>
      <w:r>
        <w:rPr>
          <w:rFonts w:hint="eastAsia"/>
        </w:rPr>
        <w:t>”</w:t>
      </w:r>
      <w:proofErr w:type="gramEnd"/>
      <w:r>
        <w:rPr>
          <w:rFonts w:hint="eastAsia"/>
        </w:rPr>
        <w:t>、做到</w:t>
      </w:r>
      <w:proofErr w:type="gramStart"/>
      <w:r>
        <w:rPr>
          <w:rFonts w:hint="eastAsia"/>
        </w:rPr>
        <w:t>”</w:t>
      </w:r>
      <w:proofErr w:type="gramEnd"/>
      <w:r>
        <w:rPr>
          <w:rFonts w:hint="eastAsia"/>
        </w:rPr>
        <w:t>两个维护''的实际行动，是将党的领导和我国制度优势转化为国家治理效能的重要环节，是坚持以人民为中心，维护社会公平正义的应有之义，是服务保障</w:t>
      </w:r>
      <w:proofErr w:type="gramStart"/>
      <w:r>
        <w:rPr>
          <w:rFonts w:hint="eastAsia"/>
        </w:rPr>
        <w:t>”</w:t>
      </w:r>
      <w:proofErr w:type="gramEnd"/>
      <w:r>
        <w:rPr>
          <w:rFonts w:hint="eastAsia"/>
        </w:rPr>
        <w:t>十四五</w:t>
      </w:r>
      <w:proofErr w:type="gramStart"/>
      <w:r>
        <w:rPr>
          <w:rFonts w:hint="eastAsia"/>
        </w:rPr>
        <w:t>”</w:t>
      </w:r>
      <w:proofErr w:type="gramEnd"/>
      <w:r>
        <w:rPr>
          <w:rFonts w:hint="eastAsia"/>
        </w:rPr>
        <w:t>时期经济行稳致远、社会安定和谐，全面建设社会主义现代化国家的必然要求。</w:t>
      </w:r>
    </w:p>
    <w:p w14:paraId="06EE6C77" w14:textId="77777777" w:rsidR="00A92B3A" w:rsidRDefault="00A92B3A" w:rsidP="00A92B3A">
      <w:pPr>
        <w:pStyle w:val="a3"/>
        <w:spacing w:before="75" w:beforeAutospacing="0" w:after="150" w:afterAutospacing="0" w:line="360" w:lineRule="atLeast"/>
        <w:ind w:firstLine="480"/>
        <w:jc w:val="both"/>
      </w:pPr>
      <w:r>
        <w:rPr>
          <w:rFonts w:hint="eastAsia"/>
        </w:rPr>
        <w:t>会议研究了当前人民法院贯彻实施民法典工作中需要重点解决的法律适用问题，包括民法典总则编、合同编有关内容的具体适用，民法典施行后有关新旧法律、司法解释的衔接适用等内容，以及有关工作机制的完善问题。现纪要如下：</w:t>
      </w:r>
    </w:p>
    <w:p w14:paraId="03C3C3E3" w14:textId="77777777" w:rsidR="00A92B3A" w:rsidRDefault="00A92B3A" w:rsidP="00A92B3A">
      <w:pPr>
        <w:pStyle w:val="a3"/>
        <w:spacing w:before="75" w:beforeAutospacing="0" w:after="75" w:afterAutospacing="0"/>
      </w:pPr>
    </w:p>
    <w:p w14:paraId="083E86DA" w14:textId="77777777" w:rsidR="00A92B3A" w:rsidRDefault="00A92B3A" w:rsidP="00A92B3A">
      <w:pPr>
        <w:pStyle w:val="a3"/>
        <w:spacing w:before="75" w:beforeAutospacing="0" w:after="150" w:afterAutospacing="0" w:line="360" w:lineRule="atLeast"/>
        <w:ind w:firstLine="480"/>
        <w:jc w:val="both"/>
      </w:pPr>
      <w:r>
        <w:rPr>
          <w:rStyle w:val="a4"/>
          <w:rFonts w:hint="eastAsia"/>
        </w:rPr>
        <w:t>一、正确适用民法典总则编、合同编的相关制度</w:t>
      </w:r>
    </w:p>
    <w:p w14:paraId="61C81330" w14:textId="77777777" w:rsidR="00A92B3A" w:rsidRDefault="00A92B3A" w:rsidP="00A92B3A">
      <w:pPr>
        <w:pStyle w:val="a3"/>
        <w:spacing w:before="75" w:beforeAutospacing="0" w:after="150" w:afterAutospacing="0" w:line="360" w:lineRule="atLeast"/>
        <w:ind w:firstLine="480"/>
        <w:jc w:val="both"/>
      </w:pPr>
      <w:r>
        <w:rPr>
          <w:rFonts w:hint="eastAsia"/>
        </w:rPr>
        <w:t>会议要求，各级人民法院要充分发挥民事审判职能作用，切实维护人民群众合法权益。要将民法典的贯彻实施与服务经济社会高质量发展结合起来，要将弘扬社会主义核心价值观融入民法典贯彻实施工作的全过程、各领域。</w:t>
      </w:r>
    </w:p>
    <w:p w14:paraId="539508E7" w14:textId="77777777" w:rsidR="00A92B3A" w:rsidRDefault="00A92B3A" w:rsidP="00A92B3A">
      <w:pPr>
        <w:pStyle w:val="a3"/>
        <w:spacing w:before="75" w:beforeAutospacing="0" w:after="150" w:afterAutospacing="0" w:line="360" w:lineRule="atLeast"/>
        <w:ind w:firstLine="480"/>
        <w:jc w:val="both"/>
      </w:pPr>
      <w:r>
        <w:rPr>
          <w:rFonts w:hint="eastAsia"/>
        </w:rPr>
        <w:t>会议研究了《最高人民法院关于贯彻执行〈中华人民共和国民法通则〉若干问题的意见（试行）》（以下</w:t>
      </w:r>
      <w:proofErr w:type="gramStart"/>
      <w:r>
        <w:rPr>
          <w:rFonts w:hint="eastAsia"/>
        </w:rPr>
        <w:t>简称民通意见</w:t>
      </w:r>
      <w:proofErr w:type="gramEnd"/>
      <w:r>
        <w:rPr>
          <w:rFonts w:hint="eastAsia"/>
        </w:rPr>
        <w:t>）、《最高人民法院关于适用〈中华人民共和国合同法〉若干问题的解释（一）》（以下简称合同法解释一）、《最</w:t>
      </w:r>
      <w:r>
        <w:rPr>
          <w:rFonts w:hint="eastAsia"/>
        </w:rPr>
        <w:lastRenderedPageBreak/>
        <w:t>高人民法院关于适用〈中华入民共和国合同法〉若干问题的解释（二）》（以下简称合同法解释二）废止后，新的司法解释颁布前，依法适用民法典总则编、合同</w:t>
      </w:r>
      <w:proofErr w:type="gramStart"/>
      <w:r>
        <w:rPr>
          <w:rFonts w:hint="eastAsia"/>
        </w:rPr>
        <w:t>编需要</w:t>
      </w:r>
      <w:proofErr w:type="gramEnd"/>
      <w:r>
        <w:rPr>
          <w:rFonts w:hint="eastAsia"/>
        </w:rPr>
        <w:t>重点关注的问题。</w:t>
      </w:r>
    </w:p>
    <w:p w14:paraId="17837869" w14:textId="77777777" w:rsidR="00A92B3A" w:rsidRDefault="00A92B3A" w:rsidP="00A92B3A">
      <w:pPr>
        <w:pStyle w:val="a3"/>
        <w:spacing w:before="75" w:beforeAutospacing="0" w:after="150" w:afterAutospacing="0" w:line="360" w:lineRule="atLeast"/>
        <w:ind w:firstLine="480"/>
        <w:jc w:val="both"/>
      </w:pPr>
      <w:r>
        <w:rPr>
          <w:rFonts w:hint="eastAsia"/>
        </w:rPr>
        <w:t>1.申请宣告失踪或宣告死亡的利害关系人，包括被申请宣告失踪或宣告死亡人的配偶、父母、子女、兄弟姐妹、祖父母、外祖父母、孙子女、外孙子女以及其他与被申请人有民事权利义务关系的民事主体。</w:t>
      </w:r>
    </w:p>
    <w:p w14:paraId="29AF1C9A" w14:textId="77777777" w:rsidR="00A92B3A" w:rsidRDefault="00A92B3A" w:rsidP="00A92B3A">
      <w:pPr>
        <w:pStyle w:val="a3"/>
        <w:spacing w:before="75" w:beforeAutospacing="0" w:after="150" w:afterAutospacing="0" w:line="360" w:lineRule="atLeast"/>
        <w:ind w:firstLine="480"/>
        <w:jc w:val="both"/>
      </w:pPr>
      <w:r>
        <w:rPr>
          <w:rFonts w:hint="eastAsia"/>
        </w:rPr>
        <w:t>宣告失踪不是宣告死亡的必经程序，利害关系人可以不经申请宣告失踪而直接申请宣告死亡。</w:t>
      </w:r>
    </w:p>
    <w:p w14:paraId="3DE90C39" w14:textId="77777777" w:rsidR="00A92B3A" w:rsidRDefault="00A92B3A" w:rsidP="00A92B3A">
      <w:pPr>
        <w:pStyle w:val="a3"/>
        <w:spacing w:before="75" w:beforeAutospacing="0" w:after="150" w:afterAutospacing="0" w:line="360" w:lineRule="atLeast"/>
        <w:ind w:firstLine="480"/>
        <w:jc w:val="both"/>
      </w:pPr>
      <w:r>
        <w:rPr>
          <w:rFonts w:hint="eastAsia"/>
        </w:rPr>
        <w:t>但是，为了确保各方当事人权益的平衡保护，对于配偶、父母、子女以外的其他利害关系人申请宣告死亡，人民法院审查后认为申请人通过申请宣告失踪足以保护其权利，其申请宣告死亡违背民法典第一百三十二条关于不得滥用民事权利的规定的，不予支持。</w:t>
      </w:r>
    </w:p>
    <w:p w14:paraId="3086BD1A" w14:textId="77777777" w:rsidR="00A92B3A" w:rsidRDefault="00A92B3A" w:rsidP="00A92B3A">
      <w:pPr>
        <w:pStyle w:val="a3"/>
        <w:spacing w:before="75" w:beforeAutospacing="0" w:after="150" w:afterAutospacing="0" w:line="360" w:lineRule="atLeast"/>
        <w:ind w:firstLine="480"/>
        <w:jc w:val="both"/>
      </w:pPr>
      <w:r>
        <w:rPr>
          <w:rFonts w:hint="eastAsia"/>
        </w:rPr>
        <w:t>2.行为人因对行为的性质、对方当事人、标的物的品种、质量、规格和数量等的错误认识，使行为的后果与自己的意思相悖，并造成较大损失的，人民法院可以认定为民法典第一百四十七条、第一百五十二条规定的重大误解。</w:t>
      </w:r>
    </w:p>
    <w:p w14:paraId="3C11527B" w14:textId="77777777" w:rsidR="00A92B3A" w:rsidRDefault="00A92B3A" w:rsidP="00A92B3A">
      <w:pPr>
        <w:pStyle w:val="a3"/>
        <w:spacing w:before="75" w:beforeAutospacing="0" w:after="150" w:afterAutospacing="0" w:line="360" w:lineRule="atLeast"/>
        <w:ind w:firstLine="480"/>
        <w:jc w:val="both"/>
      </w:pPr>
      <w:r>
        <w:rPr>
          <w:rFonts w:hint="eastAsia"/>
        </w:rPr>
        <w:t>3.故意告知虚假情况，或者故意隐瞒真实情况，诱使当事人</w:t>
      </w:r>
      <w:proofErr w:type="gramStart"/>
      <w:r>
        <w:rPr>
          <w:rFonts w:hint="eastAsia"/>
        </w:rPr>
        <w:t>作出</w:t>
      </w:r>
      <w:proofErr w:type="gramEnd"/>
      <w:r>
        <w:rPr>
          <w:rFonts w:hint="eastAsia"/>
        </w:rPr>
        <w:t>错误意思表示的，人民法院可以认定为民法典第一百四十八条、第一百四十九条规定的欺诈。</w:t>
      </w:r>
    </w:p>
    <w:p w14:paraId="7F960FD2" w14:textId="77777777" w:rsidR="00A92B3A" w:rsidRDefault="00A92B3A" w:rsidP="00A92B3A">
      <w:pPr>
        <w:pStyle w:val="a3"/>
        <w:spacing w:before="75" w:beforeAutospacing="0" w:after="150" w:afterAutospacing="0" w:line="360" w:lineRule="atLeast"/>
        <w:ind w:firstLine="480"/>
        <w:jc w:val="both"/>
      </w:pPr>
      <w:r>
        <w:rPr>
          <w:rFonts w:hint="eastAsia"/>
        </w:rPr>
        <w:t>4.以给自然人及其亲友的生命、身体、健康、名誉、荣誉、隐私、财产等造成损害或者以给法人、非法人组织的名誉、荣誉、财产等造成损害为要挟，迫使其</w:t>
      </w:r>
      <w:proofErr w:type="gramStart"/>
      <w:r>
        <w:rPr>
          <w:rFonts w:hint="eastAsia"/>
        </w:rPr>
        <w:t>作出</w:t>
      </w:r>
      <w:proofErr w:type="gramEnd"/>
      <w:r>
        <w:rPr>
          <w:rFonts w:hint="eastAsia"/>
        </w:rPr>
        <w:t>不真实的意思表示的，人民法院可以认定为民法典第一百五十条规定的胁迫。</w:t>
      </w:r>
    </w:p>
    <w:p w14:paraId="3AE9F502" w14:textId="77777777" w:rsidR="00A92B3A" w:rsidRDefault="00A92B3A" w:rsidP="00A92B3A">
      <w:pPr>
        <w:pStyle w:val="a3"/>
        <w:spacing w:before="75" w:beforeAutospacing="0" w:after="150" w:afterAutospacing="0" w:line="360" w:lineRule="atLeast"/>
        <w:ind w:firstLine="480"/>
        <w:jc w:val="both"/>
      </w:pPr>
      <w:r>
        <w:rPr>
          <w:rFonts w:hint="eastAsia"/>
        </w:rPr>
        <w:t>5.民法典第一百八十八条第一款规定的普通诉讼时效期间，可以适用民法典有关诉讼时效中止、中断的规定，不适用延长的规定。民法典第一百八十八条第二款规定的“二十年”诉讼时效期间可以适用延长的规定，不适用中止、中断的规定。</w:t>
      </w:r>
    </w:p>
    <w:p w14:paraId="3C69222C" w14:textId="77777777" w:rsidR="00A92B3A" w:rsidRDefault="00A92B3A" w:rsidP="00A92B3A">
      <w:pPr>
        <w:pStyle w:val="a3"/>
        <w:spacing w:before="75" w:beforeAutospacing="0" w:after="150" w:afterAutospacing="0" w:line="360" w:lineRule="atLeast"/>
        <w:ind w:firstLine="480"/>
        <w:jc w:val="both"/>
      </w:pPr>
      <w:r>
        <w:rPr>
          <w:rFonts w:hint="eastAsia"/>
        </w:rPr>
        <w:t>诉讼时效根据民法典第一百九十五条的规定中断后，在新的诉讼时效期间内，再次出现第一百九十五条规定的中断事由，可以认定诉讼时效再次中断。权利人向义务人的代理人、财产代管人或者遗产管理人主张权利的，可以认定诉讼时效中断。</w:t>
      </w:r>
    </w:p>
    <w:p w14:paraId="2850C0A9" w14:textId="77777777" w:rsidR="00A92B3A" w:rsidRDefault="00A92B3A" w:rsidP="00A92B3A">
      <w:pPr>
        <w:pStyle w:val="a3"/>
        <w:spacing w:before="75" w:beforeAutospacing="0" w:after="150" w:afterAutospacing="0" w:line="360" w:lineRule="atLeast"/>
        <w:ind w:firstLine="480"/>
        <w:jc w:val="both"/>
      </w:pPr>
      <w:r>
        <w:rPr>
          <w:rFonts w:hint="eastAsia"/>
        </w:rPr>
        <w:t>6.当事人对于合同是否成立发生争议，人民法院应当本着尊重合同自由，鼓励和促进交易的精神依法处理。能够确定当事人名称或者姓名、标的和数量的，人民法院一般应当认定合同成立，但法律另有规定或者当事人另有约定的除外。</w:t>
      </w:r>
    </w:p>
    <w:p w14:paraId="3CFBE298" w14:textId="77777777" w:rsidR="00A92B3A" w:rsidRDefault="00A92B3A" w:rsidP="00A92B3A">
      <w:pPr>
        <w:pStyle w:val="a3"/>
        <w:spacing w:before="75" w:beforeAutospacing="0" w:after="150" w:afterAutospacing="0" w:line="360" w:lineRule="atLeast"/>
        <w:ind w:firstLine="480"/>
        <w:jc w:val="both"/>
      </w:pPr>
      <w:r>
        <w:rPr>
          <w:rFonts w:hint="eastAsia"/>
        </w:rPr>
        <w:lastRenderedPageBreak/>
        <w:t>对合同欠缺的当事人名称或者姓名、标的和数量以外的其他内容，当事人达不成协议的，人民法院依照民法典第四百六十六条、第五百一十条、第五百一十一条等规定予以确定。</w:t>
      </w:r>
    </w:p>
    <w:p w14:paraId="2630BAD6" w14:textId="77777777" w:rsidR="00A92B3A" w:rsidRDefault="00A92B3A" w:rsidP="00A92B3A">
      <w:pPr>
        <w:pStyle w:val="a3"/>
        <w:spacing w:before="75" w:beforeAutospacing="0" w:after="150" w:afterAutospacing="0" w:line="360" w:lineRule="atLeast"/>
        <w:ind w:firstLine="480"/>
        <w:jc w:val="both"/>
      </w:pPr>
      <w:r>
        <w:rPr>
          <w:rFonts w:hint="eastAsia"/>
        </w:rPr>
        <w:t>7.提供格式条款的一方对格式条款中免除或者减轻其责任等与对方有重大利害关系的内容，在合同订立时采用足以引起对方注意的文字、符号、字体等特别标识，并按照对方的要求以常人能够理解的方式对该格式条款予以说明的，人民法院应当认定符合民法典第四百九十六条所称“采取合理的方式”。提供格式条款一方对已尽合理提示及说明义务承担举证责任。</w:t>
      </w:r>
    </w:p>
    <w:p w14:paraId="367C6083" w14:textId="77777777" w:rsidR="00A92B3A" w:rsidRDefault="00A92B3A" w:rsidP="00A92B3A">
      <w:pPr>
        <w:pStyle w:val="a3"/>
        <w:spacing w:before="75" w:beforeAutospacing="0" w:after="150" w:afterAutospacing="0" w:line="360" w:lineRule="atLeast"/>
        <w:ind w:firstLine="480"/>
        <w:jc w:val="both"/>
      </w:pPr>
      <w:r>
        <w:rPr>
          <w:rFonts w:hint="eastAsia"/>
        </w:rPr>
        <w:t>8.民法典第五百三十五条规定的“债务人</w:t>
      </w:r>
      <w:proofErr w:type="gramStart"/>
      <w:r>
        <w:rPr>
          <w:rFonts w:hint="eastAsia"/>
        </w:rPr>
        <w:t>怠</w:t>
      </w:r>
      <w:proofErr w:type="gramEnd"/>
      <w:r>
        <w:rPr>
          <w:rFonts w:hint="eastAsia"/>
        </w:rPr>
        <w:t>于行使其债权或者与该债权有关的从权利，影响债权人的到期债权实现的”，是指债务人不履行其对债权人的到期债务，又不以诉讼方式或者仲裁方式向相对人主张其享有的债权或者与该债权有关的从权利，致使债权人的到期债权未能实现。</w:t>
      </w:r>
    </w:p>
    <w:p w14:paraId="5C8F40FA" w14:textId="77777777" w:rsidR="00A92B3A" w:rsidRDefault="00A92B3A" w:rsidP="00A92B3A">
      <w:pPr>
        <w:pStyle w:val="a3"/>
        <w:spacing w:before="75" w:beforeAutospacing="0" w:after="150" w:afterAutospacing="0" w:line="360" w:lineRule="atLeast"/>
        <w:ind w:firstLine="480"/>
        <w:jc w:val="both"/>
      </w:pPr>
      <w:r>
        <w:rPr>
          <w:rFonts w:hint="eastAsia"/>
        </w:rPr>
        <w:t>相对人不认为债务人有</w:t>
      </w:r>
      <w:proofErr w:type="gramStart"/>
      <w:r>
        <w:rPr>
          <w:rFonts w:hint="eastAsia"/>
        </w:rPr>
        <w:t>怠</w:t>
      </w:r>
      <w:proofErr w:type="gramEnd"/>
      <w:r>
        <w:rPr>
          <w:rFonts w:hint="eastAsia"/>
        </w:rPr>
        <w:t>于行使其债权或者与该债权有关的从权利情况的，应当承担举证责任。</w:t>
      </w:r>
    </w:p>
    <w:p w14:paraId="7EBCAA48" w14:textId="77777777" w:rsidR="00A92B3A" w:rsidRDefault="00A92B3A" w:rsidP="00A92B3A">
      <w:pPr>
        <w:pStyle w:val="a3"/>
        <w:spacing w:before="75" w:beforeAutospacing="0" w:after="150" w:afterAutospacing="0" w:line="360" w:lineRule="atLeast"/>
        <w:ind w:firstLine="480"/>
        <w:jc w:val="both"/>
      </w:pPr>
      <w:r>
        <w:rPr>
          <w:rFonts w:hint="eastAsia"/>
        </w:rPr>
        <w:t>9.对于民法典第五百三十九条规定的明显不合理的低价或者高价，人民法院应当以交易当地一般经营者的判断，并参考交易当时交易地的物价部门指导价或者市场交易价，结合其他相关因素综合考虑予以认定。</w:t>
      </w:r>
    </w:p>
    <w:p w14:paraId="26DD88D7" w14:textId="77777777" w:rsidR="00A92B3A" w:rsidRDefault="00A92B3A" w:rsidP="00A92B3A">
      <w:pPr>
        <w:pStyle w:val="a3"/>
        <w:spacing w:before="75" w:beforeAutospacing="0" w:after="150" w:afterAutospacing="0" w:line="360" w:lineRule="atLeast"/>
        <w:ind w:firstLine="480"/>
        <w:jc w:val="both"/>
      </w:pPr>
      <w:r>
        <w:rPr>
          <w:rFonts w:hint="eastAsia"/>
        </w:rPr>
        <w:t>转让价格达不到交易时交易地的指导价或者市场交易价百分之七十的，一般可以视为明显不合理的低价；对转让价格高于当地指导价或者市场交易价百分之三十的，一般可以视为明显不合理的高价。当事人对于其所主张的交易时交易地的指导价或者市场交易</w:t>
      </w:r>
      <w:proofErr w:type="gramStart"/>
      <w:r>
        <w:rPr>
          <w:rFonts w:hint="eastAsia"/>
        </w:rPr>
        <w:t>价承担</w:t>
      </w:r>
      <w:proofErr w:type="gramEnd"/>
      <w:r>
        <w:rPr>
          <w:rFonts w:hint="eastAsia"/>
        </w:rPr>
        <w:t>举证责任。</w:t>
      </w:r>
    </w:p>
    <w:p w14:paraId="1BD75D2D" w14:textId="77777777" w:rsidR="00A92B3A" w:rsidRDefault="00A92B3A" w:rsidP="00A92B3A">
      <w:pPr>
        <w:pStyle w:val="a3"/>
        <w:spacing w:before="75" w:beforeAutospacing="0" w:after="150" w:afterAutospacing="0" w:line="360" w:lineRule="atLeast"/>
        <w:ind w:firstLine="480"/>
        <w:jc w:val="both"/>
      </w:pPr>
      <w:r>
        <w:rPr>
          <w:rFonts w:hint="eastAsia"/>
        </w:rPr>
        <w:t>10.当事人一方违反民法典第五百五十八条规定的通知、协助、保密、旧物回收等义务，给对方当事人造成损失，对方当事人请求赔偿实际损失的，人民法院应当支持。</w:t>
      </w:r>
    </w:p>
    <w:p w14:paraId="301E3C40" w14:textId="77777777" w:rsidR="00A92B3A" w:rsidRDefault="00A92B3A" w:rsidP="00A92B3A">
      <w:pPr>
        <w:pStyle w:val="a3"/>
        <w:spacing w:before="75" w:beforeAutospacing="0" w:after="150" w:afterAutospacing="0" w:line="360" w:lineRule="atLeast"/>
        <w:ind w:firstLine="480"/>
        <w:jc w:val="both"/>
      </w:pPr>
      <w:r>
        <w:rPr>
          <w:rFonts w:hint="eastAsia"/>
        </w:rPr>
        <w:t>11.民法典第五百八十五条第二款规定的损失范围应当按照民法典第五百八十四条规定确定，包括合同履行后可以获得的利益，但不得超过违约一方订立合同时预见到或者应当预见到的因违约可能造成的损失。</w:t>
      </w:r>
    </w:p>
    <w:p w14:paraId="12FA1FDF" w14:textId="77777777" w:rsidR="00A92B3A" w:rsidRDefault="00A92B3A" w:rsidP="00A92B3A">
      <w:pPr>
        <w:pStyle w:val="a3"/>
        <w:spacing w:before="75" w:beforeAutospacing="0" w:after="150" w:afterAutospacing="0" w:line="360" w:lineRule="atLeast"/>
        <w:ind w:firstLine="480"/>
        <w:jc w:val="both"/>
      </w:pPr>
      <w:r>
        <w:rPr>
          <w:rFonts w:hint="eastAsia"/>
        </w:rPr>
        <w:t>当事人请求人民法院增加违约金的，增加后的违约金数额以不超过民法典第五百八十四条规定的损失为限。增加违约金以后，当事人又请求对方赔偿损失的，人民法院不予支持。</w:t>
      </w:r>
    </w:p>
    <w:p w14:paraId="20A55F77" w14:textId="77777777" w:rsidR="00A92B3A" w:rsidRDefault="00A92B3A" w:rsidP="00A92B3A">
      <w:pPr>
        <w:pStyle w:val="a3"/>
        <w:spacing w:before="75" w:beforeAutospacing="0" w:after="150" w:afterAutospacing="0" w:line="360" w:lineRule="atLeast"/>
        <w:ind w:firstLine="480"/>
        <w:jc w:val="both"/>
      </w:pPr>
      <w:r>
        <w:rPr>
          <w:rFonts w:hint="eastAsia"/>
        </w:rPr>
        <w:t>当事人请求人民法院减少违约金的，人民法院应当以民法典第五百八十四条规定的损失为基础，兼顾合同的履行情况、当事人的过错程度等综合因素，根据公平原则和诚信原则予以衡量，并</w:t>
      </w:r>
      <w:proofErr w:type="gramStart"/>
      <w:r>
        <w:rPr>
          <w:rFonts w:hint="eastAsia"/>
        </w:rPr>
        <w:t>作出</w:t>
      </w:r>
      <w:proofErr w:type="gramEnd"/>
      <w:r>
        <w:rPr>
          <w:rFonts w:hint="eastAsia"/>
        </w:rPr>
        <w:t>裁判。约定的违约金超过根据民法典第五百八十四条规定确定的损失的百分之三十的，一般可以认定为民法典第五百八十五条第二款规定的“过分高于造成的损失”。</w:t>
      </w:r>
    </w:p>
    <w:p w14:paraId="034C2D94" w14:textId="77777777" w:rsidR="00A92B3A" w:rsidRDefault="00A92B3A" w:rsidP="00A92B3A">
      <w:pPr>
        <w:pStyle w:val="a3"/>
        <w:spacing w:before="75" w:beforeAutospacing="0" w:after="150" w:afterAutospacing="0" w:line="360" w:lineRule="atLeast"/>
        <w:ind w:firstLine="480"/>
        <w:jc w:val="both"/>
      </w:pPr>
      <w:r>
        <w:rPr>
          <w:rFonts w:hint="eastAsia"/>
        </w:rPr>
        <w:lastRenderedPageBreak/>
        <w:t>当事人主张约定的违约金过高请求予以适当减少的，应当承担举证责任；相对人主张违约金约定合理的，也应提供相应的证据。</w:t>
      </w:r>
    </w:p>
    <w:p w14:paraId="1C7D35F9" w14:textId="77777777" w:rsidR="00A92B3A" w:rsidRDefault="00A92B3A" w:rsidP="00A92B3A">
      <w:pPr>
        <w:pStyle w:val="a3"/>
        <w:spacing w:before="75" w:beforeAutospacing="0" w:after="150" w:afterAutospacing="0" w:line="360" w:lineRule="atLeast"/>
        <w:ind w:firstLine="480"/>
        <w:jc w:val="both"/>
      </w:pPr>
      <w:r>
        <w:rPr>
          <w:rFonts w:hint="eastAsia"/>
        </w:rPr>
        <w:t>12.除上述内容外，</w:t>
      </w:r>
      <w:proofErr w:type="gramStart"/>
      <w:r>
        <w:rPr>
          <w:rFonts w:hint="eastAsia"/>
        </w:rPr>
        <w:t>对于民通意见</w:t>
      </w:r>
      <w:proofErr w:type="gramEnd"/>
      <w:r>
        <w:rPr>
          <w:rFonts w:hint="eastAsia"/>
        </w:rPr>
        <w:t>、合同法解释一、合同法解释二的实体性规定所体现的精神，与民法典及有关法律不冲突且在司法实践中行之有效的，如</w:t>
      </w:r>
      <w:proofErr w:type="gramStart"/>
      <w:r>
        <w:rPr>
          <w:rFonts w:hint="eastAsia"/>
        </w:rPr>
        <w:t>民通意见</w:t>
      </w:r>
      <w:proofErr w:type="gramEnd"/>
      <w:r>
        <w:rPr>
          <w:rFonts w:hint="eastAsia"/>
        </w:rPr>
        <w:t>第2条关于以自己的劳动收入为主要生活来源的认定规则等，人民法院可以在裁判文书说理时阐述。</w:t>
      </w:r>
    </w:p>
    <w:p w14:paraId="0A8C5593" w14:textId="77777777" w:rsidR="00A92B3A" w:rsidRDefault="00A92B3A" w:rsidP="00A92B3A">
      <w:pPr>
        <w:pStyle w:val="a3"/>
        <w:spacing w:before="75" w:beforeAutospacing="0" w:after="150" w:afterAutospacing="0" w:line="360" w:lineRule="atLeast"/>
        <w:ind w:firstLine="480"/>
        <w:jc w:val="both"/>
      </w:pPr>
      <w:r>
        <w:rPr>
          <w:rFonts w:hint="eastAsia"/>
        </w:rPr>
        <w:t>上述司法解释中的程序性规定的精神，与民事诉讼法及相关法律不冲突的，如合同法解释一第十四条、第二十三条等，人民法院可以在办理程序性事项时作为参考。</w:t>
      </w:r>
    </w:p>
    <w:p w14:paraId="44BB90CA" w14:textId="77777777" w:rsidR="00A92B3A" w:rsidRDefault="00A92B3A" w:rsidP="00A92B3A">
      <w:pPr>
        <w:pStyle w:val="a3"/>
        <w:spacing w:before="75" w:beforeAutospacing="0" w:after="75" w:afterAutospacing="0"/>
      </w:pPr>
    </w:p>
    <w:p w14:paraId="6AAE6B8C" w14:textId="77777777" w:rsidR="00A92B3A" w:rsidRDefault="00A92B3A" w:rsidP="00A92B3A">
      <w:pPr>
        <w:pStyle w:val="a3"/>
        <w:spacing w:before="75" w:beforeAutospacing="0" w:after="150" w:afterAutospacing="0" w:line="360" w:lineRule="atLeast"/>
        <w:ind w:firstLine="480"/>
        <w:jc w:val="both"/>
      </w:pPr>
      <w:r>
        <w:rPr>
          <w:rStyle w:val="a4"/>
          <w:rFonts w:hint="eastAsia"/>
        </w:rPr>
        <w:t>二、准确把握民法典及相关司法解释的新旧衔接适用</w:t>
      </w:r>
    </w:p>
    <w:p w14:paraId="4060D5B7" w14:textId="77777777" w:rsidR="00A92B3A" w:rsidRDefault="00A92B3A" w:rsidP="00A92B3A">
      <w:pPr>
        <w:pStyle w:val="a3"/>
        <w:spacing w:before="75" w:beforeAutospacing="0" w:after="150" w:afterAutospacing="0" w:line="360" w:lineRule="atLeast"/>
        <w:ind w:firstLine="480"/>
        <w:jc w:val="both"/>
      </w:pPr>
      <w:r>
        <w:rPr>
          <w:rFonts w:hint="eastAsia"/>
        </w:rPr>
        <w:t>会议要求，各级人民法院要把系统观念落实到贯彻实施工作各方面，全面准确适用民法典及相关司法解释，特别是要准确把握民法典施行后的新旧法律、司法解释的衔接适用问题。</w:t>
      </w:r>
    </w:p>
    <w:p w14:paraId="5DF3B0FC" w14:textId="77777777" w:rsidR="00A92B3A" w:rsidRDefault="00A92B3A" w:rsidP="00A92B3A">
      <w:pPr>
        <w:pStyle w:val="a3"/>
        <w:spacing w:before="75" w:beforeAutospacing="0" w:after="150" w:afterAutospacing="0" w:line="360" w:lineRule="atLeast"/>
        <w:ind w:firstLine="480"/>
        <w:jc w:val="both"/>
      </w:pPr>
      <w:r>
        <w:rPr>
          <w:rFonts w:hint="eastAsia"/>
        </w:rPr>
        <w:t>会议强调，要认真学习贯彻《最高人民法院关于适用〈中华人民共和国民法典〉时间效力的若干规定》（以下简称《时间效力规定》）等7件新制定司法解释、《最高人民法院关于废止部分司法解释及相关规范性文件的决定》（以下简称《废止决定》）以及</w:t>
      </w:r>
      <w:proofErr w:type="gramStart"/>
      <w:r>
        <w:rPr>
          <w:rFonts w:hint="eastAsia"/>
        </w:rPr>
        <w:t>《</w:t>
      </w:r>
      <w:proofErr w:type="gramEnd"/>
      <w:r>
        <w:rPr>
          <w:rFonts w:hint="eastAsia"/>
        </w:rPr>
        <w:t>最高人民法院关于修改〈最高人民法院关于在民事审判工作中适用《中华人民共和国工会法》若干问题的解释〉等二十七件民事类司法解释的决定</w:t>
      </w:r>
      <w:proofErr w:type="gramStart"/>
      <w:r>
        <w:rPr>
          <w:rFonts w:hint="eastAsia"/>
        </w:rPr>
        <w:t>》</w:t>
      </w:r>
      <w:proofErr w:type="gramEnd"/>
      <w:r>
        <w:rPr>
          <w:rFonts w:hint="eastAsia"/>
        </w:rPr>
        <w:t>等5个修改决定（以下简称《修改决定》）的基本精神，在审判中准确把握适用民法典的时间效力问题，</w:t>
      </w:r>
      <w:proofErr w:type="gramStart"/>
      <w:r>
        <w:rPr>
          <w:rFonts w:hint="eastAsia"/>
        </w:rPr>
        <w:t>既彰显民</w:t>
      </w:r>
      <w:proofErr w:type="gramEnd"/>
      <w:r>
        <w:rPr>
          <w:rFonts w:hint="eastAsia"/>
        </w:rPr>
        <w:t>法典的制度价值，又不背离当事人基于原有法律所形成的合理预期，确保法律的统一适用。</w:t>
      </w:r>
    </w:p>
    <w:p w14:paraId="68D995C7" w14:textId="77777777" w:rsidR="00A92B3A" w:rsidRDefault="00A92B3A" w:rsidP="00A92B3A">
      <w:pPr>
        <w:pStyle w:val="a3"/>
        <w:spacing w:before="75" w:beforeAutospacing="0" w:after="150" w:afterAutospacing="0" w:line="360" w:lineRule="atLeast"/>
        <w:ind w:firstLine="480"/>
        <w:jc w:val="both"/>
      </w:pPr>
      <w:r>
        <w:rPr>
          <w:rFonts w:hint="eastAsia"/>
        </w:rPr>
        <w:t>13.正确适用《时间效力规定》，处理好新旧法律、司法解释的衔接适用问题。坚持“法不溯及既往”的基本原则，依法保护当事人的合理预期。民法典施行前的法律事实引起的民事纠纷案件，适用当时的法律、司法解释的规定，但《时间效力规定》另有规定的除外。</w:t>
      </w:r>
    </w:p>
    <w:p w14:paraId="7E53D226" w14:textId="77777777" w:rsidR="00A92B3A" w:rsidRDefault="00A92B3A" w:rsidP="00A92B3A">
      <w:pPr>
        <w:pStyle w:val="a3"/>
        <w:spacing w:before="75" w:beforeAutospacing="0" w:after="150" w:afterAutospacing="0" w:line="360" w:lineRule="atLeast"/>
        <w:ind w:firstLine="480"/>
        <w:jc w:val="both"/>
      </w:pPr>
      <w:r>
        <w:rPr>
          <w:rFonts w:hint="eastAsia"/>
        </w:rPr>
        <w:t>当时的法律、司法解释包括根据民法典第一千二百六十条规定废止的法律，根据《废止决定》废止的司法解释及相关规范性文件，《修改决定》所涉及的修改前的司法解释。</w:t>
      </w:r>
    </w:p>
    <w:p w14:paraId="70B1FA5B" w14:textId="77777777" w:rsidR="00A92B3A" w:rsidRDefault="00A92B3A" w:rsidP="00A92B3A">
      <w:pPr>
        <w:pStyle w:val="a3"/>
        <w:spacing w:before="75" w:beforeAutospacing="0" w:after="150" w:afterAutospacing="0" w:line="360" w:lineRule="atLeast"/>
        <w:ind w:firstLine="480"/>
        <w:jc w:val="both"/>
      </w:pPr>
      <w:r>
        <w:rPr>
          <w:rFonts w:hint="eastAsia"/>
        </w:rPr>
        <w:t>14.人民法院审理民事纠纷案件，根据《时间效力规定》应当适用民法典的，同时适用民法典相关司法解释，但是该司法解释另有规定的除外。</w:t>
      </w:r>
    </w:p>
    <w:p w14:paraId="76DE6D51" w14:textId="77777777" w:rsidR="00A92B3A" w:rsidRDefault="00A92B3A" w:rsidP="00A92B3A">
      <w:pPr>
        <w:pStyle w:val="a3"/>
        <w:spacing w:before="75" w:beforeAutospacing="0" w:after="150" w:afterAutospacing="0" w:line="360" w:lineRule="atLeast"/>
        <w:ind w:firstLine="480"/>
        <w:jc w:val="both"/>
      </w:pPr>
      <w:r>
        <w:rPr>
          <w:rFonts w:hint="eastAsia"/>
        </w:rPr>
        <w:t>15.人民法院根据案件情况需要引用已废止的司法解释条文作为裁判依据时，先列明《时间效力规定》相关条文，后列明该废止的司法解释条文。</w:t>
      </w:r>
    </w:p>
    <w:p w14:paraId="4E14AACB" w14:textId="77777777" w:rsidR="00A92B3A" w:rsidRDefault="00A92B3A" w:rsidP="00A92B3A">
      <w:pPr>
        <w:pStyle w:val="a3"/>
        <w:spacing w:before="75" w:beforeAutospacing="0" w:after="150" w:afterAutospacing="0" w:line="360" w:lineRule="atLeast"/>
        <w:ind w:firstLine="480"/>
        <w:jc w:val="both"/>
      </w:pPr>
      <w:r>
        <w:rPr>
          <w:rFonts w:hint="eastAsia"/>
        </w:rPr>
        <w:lastRenderedPageBreak/>
        <w:t>需要同时引用民法通则、合同法等法律及行政法规的，按照《最高人民法院关于裁判文书引用法律、法规等规范性法律文件的规定》确定引用条文顺序。</w:t>
      </w:r>
    </w:p>
    <w:p w14:paraId="09E91D05" w14:textId="77777777" w:rsidR="00A92B3A" w:rsidRDefault="00A92B3A" w:rsidP="00A92B3A">
      <w:pPr>
        <w:pStyle w:val="a3"/>
        <w:spacing w:before="75" w:beforeAutospacing="0" w:after="150" w:afterAutospacing="0" w:line="360" w:lineRule="atLeast"/>
        <w:ind w:firstLine="480"/>
        <w:jc w:val="both"/>
      </w:pPr>
      <w:r>
        <w:rPr>
          <w:rFonts w:hint="eastAsia"/>
        </w:rPr>
        <w:t>16.人民法院需要引用《修改决定》涉及的修改前的司法解释条文作为裁判依据时，先列明《时间效力规定》相关条文，后列明修改前司法解释名称、相应文号和具体条文。</w:t>
      </w:r>
    </w:p>
    <w:p w14:paraId="4F0AF22D" w14:textId="77777777" w:rsidR="00A92B3A" w:rsidRDefault="00A92B3A" w:rsidP="00A92B3A">
      <w:pPr>
        <w:pStyle w:val="a3"/>
        <w:spacing w:before="75" w:beforeAutospacing="0" w:after="150" w:afterAutospacing="0" w:line="360" w:lineRule="atLeast"/>
        <w:ind w:firstLine="480"/>
        <w:jc w:val="both"/>
      </w:pPr>
      <w:r>
        <w:rPr>
          <w:rFonts w:hint="eastAsia"/>
        </w:rPr>
        <w:t>人民法院需要引用修改后的司法解释作为裁判依据时，可以在相应名称后以括号形式注明该司法解释的修改时间。</w:t>
      </w:r>
    </w:p>
    <w:p w14:paraId="71F98C60" w14:textId="77777777" w:rsidR="00A92B3A" w:rsidRDefault="00A92B3A" w:rsidP="00A92B3A">
      <w:pPr>
        <w:pStyle w:val="a3"/>
        <w:spacing w:before="75" w:beforeAutospacing="0" w:after="150" w:afterAutospacing="0" w:line="360" w:lineRule="atLeast"/>
        <w:ind w:firstLine="480"/>
        <w:jc w:val="both"/>
      </w:pPr>
      <w:r>
        <w:rPr>
          <w:rFonts w:hint="eastAsia"/>
        </w:rPr>
        <w:t>17.民法典施行前的法律事实引起的民事纠纷案件，根据《时间效力规定》应当适用民法典的，同时列明民法典的具体条文和《时间效力规定》的相关条文。</w:t>
      </w:r>
    </w:p>
    <w:p w14:paraId="0D8B2B86" w14:textId="77777777" w:rsidR="00A92B3A" w:rsidRDefault="00A92B3A" w:rsidP="00A92B3A">
      <w:pPr>
        <w:pStyle w:val="a3"/>
        <w:spacing w:before="75" w:beforeAutospacing="0" w:after="150" w:afterAutospacing="0" w:line="360" w:lineRule="atLeast"/>
        <w:ind w:firstLine="480"/>
        <w:jc w:val="both"/>
      </w:pPr>
      <w:r>
        <w:rPr>
          <w:rFonts w:hint="eastAsia"/>
        </w:rPr>
        <w:t>民法典施行后的法律事实引起的民事纠纷案件，裁判文书引用法律、司法解释时，不必引用《时间效力规定》的相关条文。</w:t>
      </w:r>
    </w:p>
    <w:p w14:paraId="2F1175D8" w14:textId="77777777" w:rsidR="00A92B3A" w:rsidRDefault="00A92B3A" w:rsidP="00A92B3A">
      <w:pPr>
        <w:pStyle w:val="a3"/>
        <w:spacing w:before="75" w:beforeAutospacing="0" w:after="150" w:afterAutospacing="0" w:line="360" w:lineRule="atLeast"/>
        <w:ind w:firstLine="480"/>
        <w:jc w:val="both"/>
      </w:pPr>
      <w:r>
        <w:rPr>
          <w:rFonts w:hint="eastAsia"/>
        </w:rPr>
        <w:t>18.从严把握溯及适用民法典规定的情形，确保法律适用统一。</w:t>
      </w:r>
    </w:p>
    <w:p w14:paraId="4BE2A1DB" w14:textId="77777777" w:rsidR="00A92B3A" w:rsidRDefault="00A92B3A" w:rsidP="00A92B3A">
      <w:pPr>
        <w:pStyle w:val="a3"/>
        <w:spacing w:before="75" w:beforeAutospacing="0" w:after="150" w:afterAutospacing="0" w:line="360" w:lineRule="atLeast"/>
        <w:ind w:firstLine="480"/>
        <w:jc w:val="both"/>
      </w:pPr>
      <w:r>
        <w:rPr>
          <w:rFonts w:hint="eastAsia"/>
        </w:rPr>
        <w:t>除《时间效力规定》第二部分所列具体规定外，人民法院在审理有关民事纠纷案件时，认为符合《时间效力规定》第二条溯及适用民法典情形的，应当</w:t>
      </w:r>
      <w:proofErr w:type="gramStart"/>
      <w:r>
        <w:rPr>
          <w:rFonts w:hint="eastAsia"/>
        </w:rPr>
        <w:t>做好类案检索</w:t>
      </w:r>
      <w:proofErr w:type="gramEnd"/>
      <w:r>
        <w:rPr>
          <w:rFonts w:hint="eastAsia"/>
        </w:rPr>
        <w:t>，经本院审判委员会讨论后层报高级人民法院。</w:t>
      </w:r>
    </w:p>
    <w:p w14:paraId="506825D9" w14:textId="77777777" w:rsidR="00A92B3A" w:rsidRDefault="00A92B3A" w:rsidP="00A92B3A">
      <w:pPr>
        <w:pStyle w:val="a3"/>
        <w:spacing w:before="75" w:beforeAutospacing="0" w:after="150" w:afterAutospacing="0" w:line="360" w:lineRule="atLeast"/>
        <w:ind w:firstLine="480"/>
        <w:jc w:val="both"/>
      </w:pPr>
      <w:r>
        <w:rPr>
          <w:rFonts w:hint="eastAsia"/>
        </w:rPr>
        <w:t>高级人民法院审判委员会讨论后认为符合《时间效力规定》第二条规定的</w:t>
      </w:r>
      <w:proofErr w:type="gramStart"/>
      <w:r>
        <w:rPr>
          <w:rFonts w:hint="eastAsia"/>
        </w:rPr>
        <w:t>”</w:t>
      </w:r>
      <w:proofErr w:type="gramEnd"/>
      <w:r>
        <w:rPr>
          <w:rFonts w:hint="eastAsia"/>
        </w:rPr>
        <w:t>三个更有利于''标准，应当溯及适用民法典规定的，报最高人民法院备案。最高人民法院将适时发布相关指导性案例或者典型案例，加强对下指导。</w:t>
      </w:r>
    </w:p>
    <w:p w14:paraId="4680E720" w14:textId="77777777" w:rsidR="00A92B3A" w:rsidRDefault="00A92B3A" w:rsidP="00A92B3A">
      <w:pPr>
        <w:pStyle w:val="a3"/>
        <w:spacing w:before="75" w:beforeAutospacing="0" w:after="75" w:afterAutospacing="0"/>
      </w:pPr>
    </w:p>
    <w:p w14:paraId="5A2F82AD" w14:textId="77777777" w:rsidR="00A92B3A" w:rsidRDefault="00A92B3A" w:rsidP="00A92B3A">
      <w:pPr>
        <w:pStyle w:val="a3"/>
        <w:spacing w:before="75" w:beforeAutospacing="0" w:after="150" w:afterAutospacing="0" w:line="360" w:lineRule="atLeast"/>
        <w:ind w:firstLine="480"/>
        <w:jc w:val="both"/>
      </w:pPr>
      <w:r>
        <w:rPr>
          <w:rStyle w:val="a4"/>
          <w:rFonts w:hint="eastAsia"/>
        </w:rPr>
        <w:t>三、切实加强适用民法典的审判指导和调查研究工作</w:t>
      </w:r>
    </w:p>
    <w:p w14:paraId="6BB50EB2" w14:textId="77777777" w:rsidR="00A92B3A" w:rsidRDefault="00A92B3A" w:rsidP="00A92B3A">
      <w:pPr>
        <w:pStyle w:val="a3"/>
        <w:spacing w:before="75" w:beforeAutospacing="0" w:after="150" w:afterAutospacing="0" w:line="360" w:lineRule="atLeast"/>
        <w:ind w:firstLine="480"/>
        <w:jc w:val="both"/>
      </w:pPr>
      <w:r>
        <w:rPr>
          <w:rFonts w:hint="eastAsia"/>
        </w:rPr>
        <w:t>会议要求，各级人民法院要把贯彻实施民法典作为一项重大政治任务，加强组织领导，强化责任担当，做好审判指导监督，扎实抓好调查研究，注重总结审判实践经验，建立健全保障民法典贯彻实施的长效机制，确保民法典在全国法院统一正确实施。</w:t>
      </w:r>
    </w:p>
    <w:p w14:paraId="1C01B96E" w14:textId="77777777" w:rsidR="00A92B3A" w:rsidRDefault="00A92B3A" w:rsidP="00A92B3A">
      <w:pPr>
        <w:pStyle w:val="a3"/>
        <w:spacing w:before="75" w:beforeAutospacing="0" w:after="150" w:afterAutospacing="0" w:line="360" w:lineRule="atLeast"/>
        <w:ind w:firstLine="480"/>
        <w:jc w:val="both"/>
      </w:pPr>
      <w:r>
        <w:rPr>
          <w:rFonts w:hint="eastAsia"/>
        </w:rPr>
        <w:t>19.要结合民法典立法精神和规定，将权利保护理念融入审判执行工作各环节，切实保护人民群众的人身权利、财产权利以及其他合法权益，不断增进人民福祉、促进入的全面发展。</w:t>
      </w:r>
    </w:p>
    <w:p w14:paraId="093360B2" w14:textId="77777777" w:rsidR="00A92B3A" w:rsidRDefault="00A92B3A" w:rsidP="00A92B3A">
      <w:pPr>
        <w:pStyle w:val="a3"/>
        <w:spacing w:before="75" w:beforeAutospacing="0" w:after="150" w:afterAutospacing="0" w:line="360" w:lineRule="atLeast"/>
        <w:ind w:firstLine="480"/>
        <w:jc w:val="both"/>
      </w:pPr>
      <w:r>
        <w:rPr>
          <w:rFonts w:hint="eastAsia"/>
        </w:rPr>
        <w:t>要加大产权司法保护力度，依法全面平等保护各类产权，坚决防止利用刑事手段插手民事纠纷，坚决防止把经济纠纷当作犯罪处理，坚决防止将民事责任变为刑事责任，让企业家专心创业、放心投资、安心经营.</w:t>
      </w:r>
    </w:p>
    <w:p w14:paraId="131134D4" w14:textId="77777777" w:rsidR="00A92B3A" w:rsidRDefault="00A92B3A" w:rsidP="00A92B3A">
      <w:pPr>
        <w:pStyle w:val="a3"/>
        <w:spacing w:before="75" w:beforeAutospacing="0" w:after="150" w:afterAutospacing="0" w:line="360" w:lineRule="atLeast"/>
        <w:ind w:firstLine="480"/>
        <w:jc w:val="both"/>
      </w:pPr>
      <w:r>
        <w:rPr>
          <w:rFonts w:hint="eastAsia"/>
        </w:rPr>
        <w:t>20.要牢固树立法典化思维，确立以民法典为中心的民事实体法律适用理念。</w:t>
      </w:r>
    </w:p>
    <w:p w14:paraId="16246A48" w14:textId="77777777" w:rsidR="00A92B3A" w:rsidRDefault="00A92B3A" w:rsidP="00A92B3A">
      <w:pPr>
        <w:pStyle w:val="a3"/>
        <w:spacing w:before="75" w:beforeAutospacing="0" w:after="150" w:afterAutospacing="0" w:line="360" w:lineRule="atLeast"/>
        <w:ind w:firstLine="480"/>
        <w:jc w:val="both"/>
      </w:pPr>
      <w:r>
        <w:rPr>
          <w:rFonts w:hint="eastAsia"/>
        </w:rPr>
        <w:lastRenderedPageBreak/>
        <w:t>准确把握民法典各编之间关系，充分认识“总则与分则”“原则与规则”“一般与特殊"的逻辑体系，综合运用文义解释、体系解释和目的解释等方法，全面、准确理解民法典核心要义，避免断章取义。</w:t>
      </w:r>
    </w:p>
    <w:p w14:paraId="0E0E07A7" w14:textId="77777777" w:rsidR="00A92B3A" w:rsidRDefault="00A92B3A" w:rsidP="00A92B3A">
      <w:pPr>
        <w:pStyle w:val="a3"/>
        <w:spacing w:before="75" w:beforeAutospacing="0" w:after="150" w:afterAutospacing="0" w:line="360" w:lineRule="atLeast"/>
        <w:ind w:firstLine="480"/>
        <w:jc w:val="both"/>
      </w:pPr>
      <w:r>
        <w:rPr>
          <w:rFonts w:hint="eastAsia"/>
        </w:rPr>
        <w:t>全面认识各编的衔接配合关系，比如合同编通则中关于债权债务的规定，发挥</w:t>
      </w:r>
      <w:proofErr w:type="gramStart"/>
      <w:r>
        <w:rPr>
          <w:rFonts w:hint="eastAsia"/>
        </w:rPr>
        <w:t>了债法总则</w:t>
      </w:r>
      <w:proofErr w:type="gramEnd"/>
      <w:r>
        <w:rPr>
          <w:rFonts w:hint="eastAsia"/>
        </w:rPr>
        <w:t>的功能作用，对于合同之债以外的其他债权债务关系同样具有适用效力。</w:t>
      </w:r>
    </w:p>
    <w:p w14:paraId="4B484DAF" w14:textId="77777777" w:rsidR="00A92B3A" w:rsidRDefault="00A92B3A" w:rsidP="00A92B3A">
      <w:pPr>
        <w:pStyle w:val="a3"/>
        <w:spacing w:before="75" w:beforeAutospacing="0" w:after="150" w:afterAutospacing="0" w:line="360" w:lineRule="atLeast"/>
        <w:ind w:firstLine="480"/>
        <w:jc w:val="both"/>
      </w:pPr>
      <w:r>
        <w:rPr>
          <w:rFonts w:hint="eastAsia"/>
        </w:rPr>
        <w:t>21.要加强对民法典具体法律适用问题的调查研究，尤其是加强对民法典的新增规定或者对原有民事法律制度有重大修改的规定适用情况的调查研究，不断探索积累经验。</w:t>
      </w:r>
    </w:p>
    <w:p w14:paraId="2FD91F5F" w14:textId="77777777" w:rsidR="00A92B3A" w:rsidRDefault="00A92B3A" w:rsidP="00A92B3A">
      <w:pPr>
        <w:pStyle w:val="a3"/>
        <w:spacing w:before="75" w:beforeAutospacing="0" w:after="150" w:afterAutospacing="0" w:line="360" w:lineRule="atLeast"/>
        <w:ind w:firstLine="480"/>
        <w:jc w:val="both"/>
      </w:pPr>
      <w:r>
        <w:rPr>
          <w:rFonts w:hint="eastAsia"/>
        </w:rPr>
        <w:t>有关民法典适用的新情况、新问题及时层报最高人民法院，为最高人民法院及时制定民法典总则编、合同编等相关司法解释提供</w:t>
      </w:r>
      <w:proofErr w:type="gramStart"/>
      <w:r>
        <w:rPr>
          <w:rFonts w:hint="eastAsia"/>
        </w:rPr>
        <w:t>有力实践</w:t>
      </w:r>
      <w:proofErr w:type="gramEnd"/>
      <w:r>
        <w:rPr>
          <w:rFonts w:hint="eastAsia"/>
        </w:rPr>
        <w:t>支撑。</w:t>
      </w:r>
    </w:p>
    <w:p w14:paraId="37954F76" w14:textId="77777777" w:rsidR="00A92B3A" w:rsidRDefault="00A92B3A" w:rsidP="00A92B3A">
      <w:pPr>
        <w:pStyle w:val="a3"/>
        <w:spacing w:before="75" w:beforeAutospacing="0" w:after="150" w:afterAutospacing="0" w:line="360" w:lineRule="atLeast"/>
        <w:ind w:firstLine="480"/>
        <w:jc w:val="both"/>
      </w:pPr>
      <w:r>
        <w:rPr>
          <w:rFonts w:hint="eastAsia"/>
        </w:rPr>
        <w:t>要特别注重发挥民法典对新技术新模式新业态的促进和保障作用，为人民法院依法公正高效审理涉及人工智能、大数据、区块链等新技术，数字经济、平台经济、共享经济等新模式，外卖骑手、快递小哥、</w:t>
      </w:r>
      <w:proofErr w:type="gramStart"/>
      <w:r>
        <w:rPr>
          <w:rFonts w:hint="eastAsia"/>
        </w:rPr>
        <w:t>网约车司机</w:t>
      </w:r>
      <w:proofErr w:type="gramEnd"/>
      <w:r>
        <w:rPr>
          <w:rFonts w:hint="eastAsia"/>
        </w:rPr>
        <w:t>等新业态的民事纠纷案件积累司法经验。</w:t>
      </w:r>
    </w:p>
    <w:p w14:paraId="7616346F" w14:textId="77777777" w:rsidR="00A92B3A" w:rsidRDefault="00A92B3A" w:rsidP="00A92B3A">
      <w:pPr>
        <w:pStyle w:val="a3"/>
        <w:spacing w:before="75" w:beforeAutospacing="0" w:after="75" w:afterAutospacing="0"/>
      </w:pPr>
    </w:p>
    <w:p w14:paraId="4CE68CF8" w14:textId="77777777" w:rsidR="00A92B3A" w:rsidRDefault="00A92B3A" w:rsidP="00A92B3A">
      <w:pPr>
        <w:pStyle w:val="a3"/>
        <w:spacing w:before="75" w:beforeAutospacing="0" w:after="75" w:afterAutospacing="0"/>
      </w:pPr>
    </w:p>
    <w:p w14:paraId="43BAEFAB" w14:textId="77777777" w:rsidR="00A92B3A" w:rsidRDefault="00A92B3A" w:rsidP="00A92B3A">
      <w:pPr>
        <w:pStyle w:val="a3"/>
        <w:spacing w:before="75" w:beforeAutospacing="0" w:after="150" w:afterAutospacing="0" w:line="360" w:lineRule="atLeast"/>
        <w:ind w:firstLine="480"/>
        <w:jc w:val="right"/>
      </w:pPr>
      <w:r>
        <w:rPr>
          <w:rFonts w:hint="eastAsia"/>
        </w:rPr>
        <w:t>最高人民法院办公厅秘书一处</w:t>
      </w:r>
    </w:p>
    <w:p w14:paraId="75894A56" w14:textId="77777777" w:rsidR="00A92B3A" w:rsidRDefault="00A92B3A" w:rsidP="00A92B3A">
      <w:pPr>
        <w:pStyle w:val="a3"/>
        <w:spacing w:before="75" w:beforeAutospacing="0" w:after="150" w:afterAutospacing="0" w:line="360" w:lineRule="atLeast"/>
        <w:ind w:firstLine="480"/>
        <w:jc w:val="right"/>
      </w:pPr>
      <w:r>
        <w:rPr>
          <w:rFonts w:hint="eastAsia"/>
        </w:rPr>
        <w:t>2021年4月9日印发</w:t>
      </w:r>
    </w:p>
    <w:p w14:paraId="2EF5AF91" w14:textId="77777777" w:rsidR="00A92B3A" w:rsidRDefault="00A92B3A" w:rsidP="00A92B3A">
      <w:pPr>
        <w:pStyle w:val="a3"/>
        <w:spacing w:before="75" w:beforeAutospacing="0" w:after="75" w:afterAutospacing="0"/>
      </w:pPr>
    </w:p>
    <w:p w14:paraId="225D1DED" w14:textId="77777777" w:rsidR="00A92B3A" w:rsidRDefault="00A92B3A" w:rsidP="00A92B3A">
      <w:pPr>
        <w:pStyle w:val="a3"/>
        <w:spacing w:before="75" w:beforeAutospacing="0" w:after="75" w:afterAutospacing="0"/>
      </w:pPr>
    </w:p>
    <w:p w14:paraId="59C1C4DB" w14:textId="77777777" w:rsidR="00A804C6" w:rsidRDefault="00A804C6"/>
    <w:sectPr w:rsidR="00A80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C6"/>
    <w:rsid w:val="00A804C6"/>
    <w:rsid w:val="00A92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EC44"/>
  <w15:chartTrackingRefBased/>
  <w15:docId w15:val="{BC94694B-6D57-4801-A4E9-DE42681B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92B3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92B3A"/>
    <w:rPr>
      <w:rFonts w:ascii="宋体" w:eastAsia="宋体" w:hAnsi="宋体" w:cs="宋体"/>
      <w:b/>
      <w:bCs/>
      <w:kern w:val="0"/>
      <w:sz w:val="36"/>
      <w:szCs w:val="36"/>
    </w:rPr>
  </w:style>
  <w:style w:type="paragraph" w:styleId="a3">
    <w:name w:val="Normal (Web)"/>
    <w:basedOn w:val="a"/>
    <w:uiPriority w:val="99"/>
    <w:semiHidden/>
    <w:unhideWhenUsed/>
    <w:rsid w:val="00A92B3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92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54317">
      <w:bodyDiv w:val="1"/>
      <w:marLeft w:val="0"/>
      <w:marRight w:val="0"/>
      <w:marTop w:val="0"/>
      <w:marBottom w:val="0"/>
      <w:divBdr>
        <w:top w:val="none" w:sz="0" w:space="0" w:color="auto"/>
        <w:left w:val="none" w:sz="0" w:space="0" w:color="auto"/>
        <w:bottom w:val="none" w:sz="0" w:space="0" w:color="auto"/>
        <w:right w:val="none" w:sz="0" w:space="0" w:color="auto"/>
      </w:divBdr>
    </w:div>
    <w:div w:id="16036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2021-04-21T05:15:00Z</dcterms:created>
  <dcterms:modified xsi:type="dcterms:W3CDTF">2021-04-21T05:15:00Z</dcterms:modified>
</cp:coreProperties>
</file>