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0A4" w:rsidRDefault="003330A4" w:rsidP="003330A4">
      <w:pPr>
        <w:overflowPunct w:val="0"/>
        <w:autoSpaceDE w:val="0"/>
        <w:autoSpaceDN w:val="0"/>
        <w:adjustRightInd w:val="0"/>
        <w:snapToGrid w:val="0"/>
        <w:ind w:leftChars="125" w:left="263" w:rightChars="125" w:right="263"/>
        <w:jc w:val="center"/>
        <w:outlineLvl w:val="0"/>
        <w:rPr>
          <w:rFonts w:ascii="方正小标宋_GBK" w:eastAsia="方正小标宋_GBK" w:hAnsi="方正小标宋_GBK" w:cs="方正小标宋_GBK" w:hint="eastAsia"/>
          <w:color w:val="000000"/>
          <w:w w:val="97"/>
          <w:sz w:val="42"/>
          <w:szCs w:val="42"/>
        </w:rPr>
      </w:pPr>
      <w:bookmarkStart w:id="0" w:name="_Toc19492"/>
      <w:r>
        <w:rPr>
          <w:rFonts w:ascii="方正小标宋_GBK" w:eastAsia="方正小标宋_GBK" w:hAnsi="方正小标宋_GBK" w:cs="方正小标宋_GBK" w:hint="eastAsia"/>
          <w:color w:val="000000"/>
          <w:w w:val="97"/>
          <w:sz w:val="42"/>
          <w:szCs w:val="42"/>
        </w:rPr>
        <w:t>最高人民法院关于对重庆高院《关于破产申请受理前已经划扣到执行法院账户尚未支付给申请执行人的款项是否属于债务人财产及执行法院收到破产管理人中止执行告知函后应否中止执行问题的请示》的答复函</w:t>
      </w:r>
      <w:bookmarkEnd w:id="0"/>
    </w:p>
    <w:p w:rsidR="003330A4" w:rsidRDefault="003330A4" w:rsidP="003330A4">
      <w:pPr>
        <w:pStyle w:val="a4"/>
        <w:widowControl w:val="0"/>
        <w:overflowPunct w:val="0"/>
        <w:autoSpaceDE w:val="0"/>
        <w:autoSpaceDN w:val="0"/>
        <w:adjustRightInd w:val="0"/>
        <w:snapToGrid w:val="0"/>
        <w:spacing w:line="324" w:lineRule="auto"/>
        <w:jc w:val="both"/>
        <w:rPr>
          <w:rStyle w:val="a3"/>
          <w:rFonts w:hint="eastAsia"/>
          <w:b w:val="0"/>
          <w:color w:val="000000"/>
        </w:rPr>
      </w:pPr>
    </w:p>
    <w:p w:rsidR="003330A4" w:rsidRDefault="003330A4" w:rsidP="003330A4">
      <w:pPr>
        <w:overflowPunct w:val="0"/>
        <w:autoSpaceDE w:val="0"/>
        <w:autoSpaceDN w:val="0"/>
        <w:adjustRightInd w:val="0"/>
        <w:snapToGrid w:val="0"/>
        <w:spacing w:afterLines="50" w:after="156" w:line="324" w:lineRule="auto"/>
        <w:jc w:val="center"/>
        <w:rPr>
          <w:rFonts w:ascii="楷体_GB2312" w:eastAsia="楷体_GB2312" w:hAnsi="宋体" w:hint="eastAsia"/>
          <w:color w:val="000000"/>
          <w:sz w:val="30"/>
        </w:rPr>
      </w:pPr>
      <w:r>
        <w:rPr>
          <w:rFonts w:ascii="楷体_GB2312" w:eastAsia="楷体_GB2312" w:hAnsi="宋体" w:hint="eastAsia"/>
          <w:color w:val="000000"/>
          <w:sz w:val="30"/>
        </w:rPr>
        <w:t>〔2017〕最高法民他72号</w:t>
      </w:r>
    </w:p>
    <w:p w:rsidR="003330A4" w:rsidRDefault="003330A4" w:rsidP="003330A4">
      <w:pPr>
        <w:pStyle w:val="a4"/>
        <w:widowControl w:val="0"/>
        <w:overflowPunct w:val="0"/>
        <w:autoSpaceDE w:val="0"/>
        <w:autoSpaceDN w:val="0"/>
        <w:adjustRightInd w:val="0"/>
        <w:snapToGrid w:val="0"/>
        <w:spacing w:line="324" w:lineRule="auto"/>
        <w:jc w:val="both"/>
        <w:rPr>
          <w:rStyle w:val="a3"/>
          <w:rFonts w:hint="eastAsia"/>
          <w:b w:val="0"/>
          <w:color w:val="000000"/>
        </w:rPr>
      </w:pPr>
    </w:p>
    <w:p w:rsidR="003330A4" w:rsidRDefault="003330A4" w:rsidP="003330A4">
      <w:pPr>
        <w:pStyle w:val="a4"/>
        <w:widowControl w:val="0"/>
        <w:overflowPunct w:val="0"/>
        <w:autoSpaceDE w:val="0"/>
        <w:autoSpaceDN w:val="0"/>
        <w:adjustRightInd w:val="0"/>
        <w:snapToGrid w:val="0"/>
        <w:spacing w:line="336" w:lineRule="auto"/>
        <w:jc w:val="both"/>
        <w:rPr>
          <w:rFonts w:hint="eastAsia"/>
          <w:color w:val="000000"/>
        </w:rPr>
      </w:pPr>
      <w:r>
        <w:rPr>
          <w:rFonts w:hint="eastAsia"/>
          <w:color w:val="000000"/>
        </w:rPr>
        <w:t>重庆市高级人民法院：</w:t>
      </w:r>
    </w:p>
    <w:p w:rsidR="003330A4" w:rsidRDefault="003330A4" w:rsidP="003330A4">
      <w:pPr>
        <w:pStyle w:val="a4"/>
        <w:widowControl w:val="0"/>
        <w:overflowPunct w:val="0"/>
        <w:autoSpaceDE w:val="0"/>
        <w:autoSpaceDN w:val="0"/>
        <w:adjustRightInd w:val="0"/>
        <w:snapToGrid w:val="0"/>
        <w:spacing w:line="336" w:lineRule="auto"/>
        <w:ind w:firstLineChars="200" w:firstLine="480"/>
        <w:jc w:val="both"/>
        <w:rPr>
          <w:rFonts w:hint="eastAsia"/>
          <w:color w:val="000000"/>
        </w:rPr>
      </w:pPr>
      <w:r>
        <w:rPr>
          <w:rFonts w:hint="eastAsia"/>
          <w:color w:val="000000"/>
        </w:rPr>
        <w:t>你院（2017）渝民他12号《关于破产申请受理前已经划扣到执行法院账户尚未支付给申请执行人的款项是否属于债务人财产及执行法院收到破产管理人中止执行告知函后应否中止执行问题的请示》收悉，经研究，答复如下：</w:t>
      </w:r>
    </w:p>
    <w:p w:rsidR="003330A4" w:rsidRDefault="003330A4" w:rsidP="003330A4">
      <w:pPr>
        <w:pStyle w:val="a4"/>
        <w:widowControl w:val="0"/>
        <w:overflowPunct w:val="0"/>
        <w:autoSpaceDE w:val="0"/>
        <w:autoSpaceDN w:val="0"/>
        <w:adjustRightInd w:val="0"/>
        <w:snapToGrid w:val="0"/>
        <w:spacing w:line="336" w:lineRule="auto"/>
        <w:ind w:firstLineChars="200" w:firstLine="480"/>
        <w:jc w:val="both"/>
        <w:rPr>
          <w:rFonts w:hint="eastAsia"/>
          <w:color w:val="000000"/>
        </w:rPr>
      </w:pPr>
      <w:r>
        <w:rPr>
          <w:rFonts w:hint="eastAsia"/>
          <w:color w:val="000000"/>
        </w:rPr>
        <w:t>人民法院裁定受理破产申请时已经扣划到执行法院账户但尚未支付给申请执行人的款项，仍属于债务人财产，人民法院裁定受理破产申请后，执行法院应当中止对该财产的执行。执行法院收到破产管理人发送的中止执行告知函后仍继续执行的，应当根据《最高人民法院关于适用＜中华人民共和国破产法＞若干问题的规定（二）》第五条依法予以纠正，故同意你院审判委员会的倾向性意见，由于法律、司法解释和司法政策的变化，我院2004年12月22日作出的《关于如何理解＜最高人民法院关于破产司法解释＞第六十八条的请示的答复》（〔2003〕民二他字第52号）相应废止。</w:t>
      </w:r>
    </w:p>
    <w:p w:rsidR="003330A4" w:rsidRDefault="003330A4" w:rsidP="003330A4">
      <w:pPr>
        <w:pStyle w:val="a4"/>
        <w:widowControl w:val="0"/>
        <w:overflowPunct w:val="0"/>
        <w:autoSpaceDE w:val="0"/>
        <w:autoSpaceDN w:val="0"/>
        <w:adjustRightInd w:val="0"/>
        <w:snapToGrid w:val="0"/>
        <w:spacing w:line="336" w:lineRule="auto"/>
        <w:ind w:firstLineChars="200" w:firstLine="480"/>
        <w:jc w:val="both"/>
        <w:rPr>
          <w:rFonts w:hint="eastAsia"/>
          <w:color w:val="000000"/>
        </w:rPr>
      </w:pPr>
      <w:r>
        <w:rPr>
          <w:rFonts w:hint="eastAsia"/>
          <w:color w:val="000000"/>
        </w:rPr>
        <w:t>此复</w:t>
      </w:r>
    </w:p>
    <w:p w:rsidR="003330A4" w:rsidRDefault="003330A4" w:rsidP="003330A4">
      <w:pPr>
        <w:pStyle w:val="a4"/>
        <w:widowControl w:val="0"/>
        <w:overflowPunct w:val="0"/>
        <w:autoSpaceDE w:val="0"/>
        <w:autoSpaceDN w:val="0"/>
        <w:adjustRightInd w:val="0"/>
        <w:snapToGrid w:val="0"/>
        <w:spacing w:line="336" w:lineRule="auto"/>
        <w:ind w:firstLineChars="200" w:firstLine="480"/>
        <w:jc w:val="both"/>
        <w:rPr>
          <w:rFonts w:hint="eastAsia"/>
          <w:color w:val="000000"/>
        </w:rPr>
      </w:pPr>
    </w:p>
    <w:p w:rsidR="003330A4" w:rsidRDefault="003330A4" w:rsidP="003330A4">
      <w:pPr>
        <w:pStyle w:val="a4"/>
        <w:widowControl w:val="0"/>
        <w:wordWrap w:val="0"/>
        <w:overflowPunct w:val="0"/>
        <w:autoSpaceDE w:val="0"/>
        <w:autoSpaceDN w:val="0"/>
        <w:adjustRightInd w:val="0"/>
        <w:snapToGrid w:val="0"/>
        <w:spacing w:line="336" w:lineRule="auto"/>
        <w:ind w:firstLineChars="200" w:firstLine="480"/>
        <w:jc w:val="right"/>
        <w:rPr>
          <w:rFonts w:hint="eastAsia"/>
          <w:color w:val="000000"/>
        </w:rPr>
      </w:pPr>
      <w:r>
        <w:rPr>
          <w:rFonts w:hint="eastAsia"/>
          <w:color w:val="000000"/>
        </w:rPr>
        <w:t xml:space="preserve">最高人民法院 　　</w:t>
      </w:r>
    </w:p>
    <w:p w:rsidR="003330A4" w:rsidRDefault="003330A4" w:rsidP="003330A4">
      <w:pPr>
        <w:pStyle w:val="a4"/>
        <w:widowControl w:val="0"/>
        <w:wordWrap w:val="0"/>
        <w:overflowPunct w:val="0"/>
        <w:autoSpaceDE w:val="0"/>
        <w:autoSpaceDN w:val="0"/>
        <w:adjustRightInd w:val="0"/>
        <w:snapToGrid w:val="0"/>
        <w:spacing w:line="336" w:lineRule="auto"/>
        <w:ind w:firstLineChars="200" w:firstLine="480"/>
        <w:jc w:val="right"/>
        <w:rPr>
          <w:rFonts w:hint="eastAsia"/>
          <w:color w:val="000000"/>
        </w:rPr>
      </w:pPr>
      <w:r>
        <w:rPr>
          <w:rFonts w:hint="eastAsia"/>
          <w:color w:val="000000"/>
        </w:rPr>
        <w:t xml:space="preserve">2017年12月12日　　</w:t>
      </w:r>
    </w:p>
    <w:p w:rsidR="00192672" w:rsidRPr="003330A4" w:rsidRDefault="003330A4">
      <w:bookmarkStart w:id="1" w:name="_GoBack"/>
      <w:bookmarkEnd w:id="1"/>
    </w:p>
    <w:sectPr w:rsidR="00192672" w:rsidRPr="003330A4" w:rsidSect="0043101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20B0604020202020204"/>
    <w:charset w:val="86"/>
    <w:family w:val="script"/>
    <w:pitch w:val="default"/>
    <w:sig w:usb0="00000001" w:usb1="080E0000" w:usb2="00000000" w:usb3="00000000" w:csb0="00040000" w:csb1="00000000"/>
  </w:font>
  <w:font w:name="楷体_GB2312">
    <w:altName w:val="微软雅黑"/>
    <w:panose1 w:val="020B0604020202020204"/>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A4"/>
    <w:rsid w:val="001006E4"/>
    <w:rsid w:val="001C115D"/>
    <w:rsid w:val="002A0F9B"/>
    <w:rsid w:val="003330A4"/>
    <w:rsid w:val="0043101A"/>
    <w:rsid w:val="004D05EC"/>
    <w:rsid w:val="0071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0B343-40E3-3B4F-9469-00869C8B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0A4"/>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30A4"/>
    <w:rPr>
      <w:b/>
      <w:bCs/>
    </w:rPr>
  </w:style>
  <w:style w:type="paragraph" w:styleId="a4">
    <w:name w:val="Normal (Web)"/>
    <w:basedOn w:val="a"/>
    <w:unhideWhenUsed/>
    <w:rsid w:val="003330A4"/>
    <w:pPr>
      <w:widowControl/>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陈瑶星</dc:creator>
  <cp:keywords/>
  <dc:description/>
  <cp:lastModifiedBy>陈瑶星</cp:lastModifiedBy>
  <cp:revision>1</cp:revision>
  <dcterms:created xsi:type="dcterms:W3CDTF">2020-07-08T01:44:00Z</dcterms:created>
  <dcterms:modified xsi:type="dcterms:W3CDTF">2020-07-08T01:45:00Z</dcterms:modified>
</cp:coreProperties>
</file>